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50F30">
      <w:pPr>
        <w:pStyle w:val="2"/>
        <w:spacing w:line="240" w:lineRule="auto"/>
        <w:ind w:left="360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 诚康养老 LNG瓶组气化站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  <w:gridCol w:w="5453"/>
      </w:tblGrid>
      <w:tr w14:paraId="7C3E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vAlign w:val="center"/>
          </w:tcPr>
          <w:p w14:paraId="55C8F302">
            <w:pPr>
              <w:pStyle w:val="2"/>
              <w:spacing w:line="240" w:lineRule="auto"/>
              <w:rPr>
                <w:sz w:val="24"/>
                <w:szCs w:val="20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20"/>
              </w:rPr>
              <w:t>站点名称：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</w:rPr>
              <w:t xml:space="preserve"> 诚康养老 LNG瓶组气化站</w:t>
            </w:r>
          </w:p>
        </w:tc>
        <w:tc>
          <w:tcPr>
            <w:tcW w:w="5453" w:type="dxa"/>
            <w:vAlign w:val="center"/>
          </w:tcPr>
          <w:p w14:paraId="06F4E693">
            <w:pPr>
              <w:spacing w:line="240" w:lineRule="auto"/>
              <w:rPr>
                <w:rFonts w:hint="default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</w:rPr>
              <w:t>地址：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兴寿镇怀昌路178号中国康养恒颐汇</w:t>
            </w:r>
          </w:p>
        </w:tc>
      </w:tr>
      <w:tr w14:paraId="62D6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vAlign w:val="center"/>
          </w:tcPr>
          <w:p w14:paraId="7CCC4DEA">
            <w:pPr>
              <w:spacing w:line="240" w:lineRule="auto"/>
              <w:rPr>
                <w:rFonts w:hint="eastAsia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</w:rPr>
              <w:t>用户名称：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北京</w:t>
            </w:r>
            <w:r>
              <w:rPr>
                <w:rFonts w:hint="eastAsia"/>
                <w:sz w:val="24"/>
                <w:szCs w:val="24"/>
              </w:rPr>
              <w:t>诚康养老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服务有限公司</w:t>
            </w:r>
            <w:bookmarkStart w:id="0" w:name="_GoBack"/>
            <w:bookmarkEnd w:id="0"/>
          </w:p>
        </w:tc>
        <w:tc>
          <w:tcPr>
            <w:tcW w:w="5453" w:type="dxa"/>
            <w:vAlign w:val="center"/>
          </w:tcPr>
          <w:p w14:paraId="44D60DA8">
            <w:pPr>
              <w:tabs>
                <w:tab w:val="left" w:pos="2684"/>
              </w:tabs>
              <w:spacing w:line="240" w:lineRule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sz w:val="24"/>
                <w:szCs w:val="20"/>
              </w:rPr>
              <w:t>检查日期：2024.1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2.19</w:t>
            </w:r>
          </w:p>
        </w:tc>
      </w:tr>
    </w:tbl>
    <w:tbl>
      <w:tblPr>
        <w:tblStyle w:val="3"/>
        <w:tblW w:w="143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296"/>
        <w:gridCol w:w="2712"/>
        <w:gridCol w:w="2674"/>
      </w:tblGrid>
      <w:tr w14:paraId="0934B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tblHeader/>
          <w:jc w:val="center"/>
        </w:trPr>
        <w:tc>
          <w:tcPr>
            <w:tcW w:w="689" w:type="dxa"/>
            <w:shd w:val="clear" w:color="auto" w:fill="FFF2CC"/>
            <w:vAlign w:val="center"/>
          </w:tcPr>
          <w:p w14:paraId="6460561D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296" w:type="dxa"/>
            <w:shd w:val="clear" w:color="auto" w:fill="FFF2CC"/>
            <w:vAlign w:val="center"/>
          </w:tcPr>
          <w:p w14:paraId="5ED471DF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具体内容</w:t>
            </w:r>
          </w:p>
        </w:tc>
        <w:tc>
          <w:tcPr>
            <w:tcW w:w="2712" w:type="dxa"/>
            <w:shd w:val="clear" w:color="auto" w:fill="FFF2CC"/>
            <w:vAlign w:val="center"/>
          </w:tcPr>
          <w:p w14:paraId="172161F7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整改情况说明</w:t>
            </w:r>
          </w:p>
        </w:tc>
        <w:tc>
          <w:tcPr>
            <w:tcW w:w="2674" w:type="dxa"/>
            <w:shd w:val="clear" w:color="auto" w:fill="FFF2CC"/>
            <w:vAlign w:val="center"/>
          </w:tcPr>
          <w:p w14:paraId="76B7EE0F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整改后照片</w:t>
            </w:r>
          </w:p>
        </w:tc>
      </w:tr>
      <w:tr w14:paraId="69186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458B8074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13CBB803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气化器入口管道紧急切断阀未启用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95F04B7">
            <w:pPr>
              <w:widowControl/>
              <w:spacing w:before="100" w:beforeAutospacing="1" w:after="100" w:afterAutospacing="1" w:line="24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1D4487BF">
            <w:pPr>
              <w:spacing w:line="240" w:lineRule="auto"/>
              <w:jc w:val="left"/>
              <w:rPr>
                <w:rFonts w:cs="Helvetica" w:asciiTheme="majorEastAsia" w:hAnsiTheme="majorEastAsia" w:eastAsiaTheme="majorEastAsia"/>
                <w:b/>
                <w:kern w:val="0"/>
                <w:sz w:val="20"/>
                <w:szCs w:val="20"/>
              </w:rPr>
            </w:pPr>
          </w:p>
        </w:tc>
      </w:tr>
      <w:tr w14:paraId="7BCF3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67DE2D0F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51737655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气化器出口管道安全阀待检，无备用安全阀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58F8B92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7EEA4111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</w:tr>
      <w:tr w14:paraId="68B2D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56BDD109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4B093889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防爆配电箱箱盖紧固螺栓松动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BCAB9AF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6B424736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</w:tr>
      <w:tr w14:paraId="65E83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31050BDA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29A4726E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电气线路防爆挠性管两端未跨接，保护套管未形成电路连通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4C69D56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728EA8A2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</w:tr>
      <w:tr w14:paraId="15644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18BE0569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4CE24231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供气站未设置加臭系统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F1242B8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1A965C6C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</w:tr>
      <w:tr w14:paraId="66C16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439CB441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6DBC093D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压力表未见检定标签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1BB4B04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6939BAD5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</w:tr>
      <w:tr w14:paraId="0786F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2513104C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6765062E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末级放散阀无校验铭牌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9AAF2FF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1E38E3C6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</w:tr>
      <w:tr w14:paraId="16B92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5F2BF3CA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17E3EF19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未设置全站停车紧急切断系统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D80F97E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37F03F4D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</w:p>
        </w:tc>
      </w:tr>
      <w:tr w14:paraId="633B7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595AB3B6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5D94A09A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气化器出口管道未设置温度监测装置，并与相关方面连锁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C400E33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606D7C03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  <w:tr w14:paraId="48D75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7B250236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5CFE5FCB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末级放散阀放散管管口高度不足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10AD698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67D7474E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  <w:tr w14:paraId="3B308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091C2351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0CCBB2BC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燃气表间电器线路套管不连续，部分线路裸露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A9D42F9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6E1F208C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  <w:tr w14:paraId="1BC9C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51077A03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5DBDE07D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燃气报警控制器一级报警阈值未设置为20%LEL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371744C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02874E0C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  <w:tr w14:paraId="1D7DC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27A1D57D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2792251C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报警控制系统报警记录无对应的处置记录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7A8B650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0E66EC23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  <w:tr w14:paraId="38AA3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7CA3FC09">
            <w:pPr>
              <w:pStyle w:val="6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48C3185A">
            <w:pPr>
              <w:spacing w:line="240" w:lineRule="auto"/>
              <w:jc w:val="left"/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>未提供可燃气体报警控制器功能性检查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FC8C230">
            <w:pPr>
              <w:spacing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53CE9EAD">
            <w:pPr>
              <w:spacing w:line="240" w:lineRule="auto"/>
              <w:jc w:val="left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</w:tbl>
    <w:p w14:paraId="72D666F5">
      <w:pPr>
        <w:widowControl/>
        <w:spacing w:line="240" w:lineRule="auto"/>
        <w:jc w:val="left"/>
      </w:pPr>
      <w:r>
        <w:rPr>
          <w:rFonts w:hint="eastAsia"/>
          <w:b/>
          <w:color w:val="FF0000"/>
          <w:sz w:val="21"/>
          <w:szCs w:val="21"/>
        </w:rPr>
        <w:t>注：加</w:t>
      </w:r>
      <w:r>
        <w:rPr>
          <w:rFonts w:hint="eastAsia" w:cs="Times New Roman" w:asciiTheme="majorEastAsia" w:hAnsiTheme="majorEastAsia" w:eastAsiaTheme="majorEastAsia"/>
          <w:b/>
          <w:color w:val="FF0000"/>
          <w:sz w:val="21"/>
          <w:szCs w:val="21"/>
        </w:rPr>
        <w:t>★项为重大隐患。</w:t>
      </w:r>
    </w:p>
    <w:p w14:paraId="3F4DDA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90083"/>
    <w:multiLevelType w:val="multilevel"/>
    <w:tmpl w:val="20B90083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ZThmOTc5NzFmNDM3N2FlOTM5MDk5ZmNmYWJkN2IifQ=="/>
  </w:docVars>
  <w:rsids>
    <w:rsidRoot w:val="74E2296C"/>
    <w:rsid w:val="08C16076"/>
    <w:rsid w:val="231C1DFC"/>
    <w:rsid w:val="2BC96E6C"/>
    <w:rsid w:val="32E7407C"/>
    <w:rsid w:val="3B4B164C"/>
    <w:rsid w:val="41962EF5"/>
    <w:rsid w:val="59947164"/>
    <w:rsid w:val="635375E4"/>
    <w:rsid w:val="69147033"/>
    <w:rsid w:val="691876D3"/>
    <w:rsid w:val="6A401511"/>
    <w:rsid w:val="74E2296C"/>
    <w:rsid w:val="782567A5"/>
    <w:rsid w:val="7E18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335</Characters>
  <Lines>0</Lines>
  <Paragraphs>0</Paragraphs>
  <TotalTime>19</TotalTime>
  <ScaleCrop>false</ScaleCrop>
  <LinksUpToDate>false</LinksUpToDate>
  <CharactersWithSpaces>339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2024-11-15T01:34:00Z</dcterms:created>
  <dc:creator>L</dc:creator>
  <cp:lastModifiedBy>L</cp:lastModifiedBy>
  <dcterms:modified xsi:type="dcterms:W3CDTF">2024-12-20T08:36:56Z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D97A7BBD38844F33A960E3AAB3C35734_13</vt:lpwstr>
  </property>
</Properties>
</file>